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0B72" w14:textId="77777777" w:rsidR="004127B2" w:rsidRPr="009A0373" w:rsidRDefault="004127B2" w:rsidP="00D73F87">
      <w:pPr>
        <w:pStyle w:val="Kop2"/>
        <w:rPr>
          <w:b/>
          <w:bCs/>
          <w:color w:val="000000" w:themeColor="text1"/>
          <w:sz w:val="20"/>
          <w:u w:val="none"/>
        </w:rPr>
      </w:pPr>
      <w:r w:rsidRPr="009A0373">
        <w:rPr>
          <w:b/>
          <w:bCs/>
          <w:color w:val="000000" w:themeColor="text1"/>
          <w:sz w:val="20"/>
          <w:u w:val="none"/>
        </w:rPr>
        <w:t>Post risicoverrekening</w:t>
      </w:r>
    </w:p>
    <w:p w14:paraId="6B2001F5" w14:textId="77777777" w:rsidR="004127B2" w:rsidRPr="009A0373" w:rsidRDefault="004127B2" w:rsidP="00D73F87">
      <w:pPr>
        <w:pStyle w:val="Kop2"/>
        <w:rPr>
          <w:bCs/>
          <w:color w:val="000000" w:themeColor="text1"/>
          <w:sz w:val="20"/>
          <w:u w:val="none"/>
        </w:rPr>
      </w:pPr>
    </w:p>
    <w:p w14:paraId="45F80346" w14:textId="77777777" w:rsidR="00252C39" w:rsidRPr="009A0373" w:rsidRDefault="00252C39" w:rsidP="00D73F87">
      <w:pPr>
        <w:pStyle w:val="Kop2"/>
        <w:rPr>
          <w:b/>
          <w:bCs/>
          <w:color w:val="000000" w:themeColor="text1"/>
          <w:sz w:val="20"/>
          <w:u w:val="none"/>
        </w:rPr>
      </w:pPr>
      <w:r w:rsidRPr="009A0373">
        <w:rPr>
          <w:b/>
          <w:bCs/>
          <w:color w:val="000000" w:themeColor="text1"/>
          <w:sz w:val="20"/>
          <w:u w:val="none"/>
        </w:rPr>
        <w:t>Artikel</w:t>
      </w:r>
      <w:proofErr w:type="gramStart"/>
      <w:r w:rsidRPr="009A0373">
        <w:rPr>
          <w:b/>
          <w:bCs/>
          <w:color w:val="000000" w:themeColor="text1"/>
          <w:sz w:val="20"/>
          <w:u w:val="none"/>
        </w:rPr>
        <w:t xml:space="preserve"> ..</w:t>
      </w:r>
      <w:proofErr w:type="gramEnd"/>
    </w:p>
    <w:p w14:paraId="56A2643A" w14:textId="77777777" w:rsidR="00252C39" w:rsidRPr="009A0373" w:rsidRDefault="00252C39" w:rsidP="00D73F87">
      <w:pPr>
        <w:rPr>
          <w:color w:val="000000" w:themeColor="text1"/>
          <w:sz w:val="20"/>
        </w:rPr>
      </w:pPr>
      <w:r w:rsidRPr="009A0373">
        <w:rPr>
          <w:color w:val="000000" w:themeColor="text1"/>
          <w:sz w:val="20"/>
        </w:rPr>
        <w:t xml:space="preserve">In aanvulling op het gestelde in artikel </w:t>
      </w:r>
      <w:r w:rsidR="008A0EA6">
        <w:rPr>
          <w:color w:val="000000" w:themeColor="text1"/>
          <w:sz w:val="20"/>
        </w:rPr>
        <w:t>8</w:t>
      </w:r>
      <w:r w:rsidR="00A74440" w:rsidRPr="009A0373">
        <w:rPr>
          <w:color w:val="000000" w:themeColor="text1"/>
          <w:sz w:val="20"/>
        </w:rPr>
        <w:t xml:space="preserve"> lid 1 van de Algemene Voorwaarden</w:t>
      </w:r>
      <w:r w:rsidR="009A0373" w:rsidRPr="009A0373">
        <w:rPr>
          <w:color w:val="000000" w:themeColor="text1"/>
          <w:sz w:val="20"/>
        </w:rPr>
        <w:t xml:space="preserve"> </w:t>
      </w:r>
      <w:r w:rsidRPr="009A0373">
        <w:rPr>
          <w:color w:val="000000" w:themeColor="text1"/>
          <w:sz w:val="20"/>
        </w:rPr>
        <w:t xml:space="preserve">komen </w:t>
      </w:r>
      <w:r w:rsidR="004127B2" w:rsidRPr="009A0373">
        <w:rPr>
          <w:color w:val="000000" w:themeColor="text1"/>
          <w:sz w:val="20"/>
        </w:rPr>
        <w:t>de O</w:t>
      </w:r>
      <w:r w:rsidRPr="009A0373">
        <w:rPr>
          <w:color w:val="000000" w:themeColor="text1"/>
          <w:sz w:val="20"/>
        </w:rPr>
        <w:t xml:space="preserve">ndernemer en </w:t>
      </w:r>
      <w:r w:rsidR="004127B2" w:rsidRPr="009A0373">
        <w:rPr>
          <w:color w:val="000000" w:themeColor="text1"/>
          <w:sz w:val="20"/>
        </w:rPr>
        <w:t>de V</w:t>
      </w:r>
      <w:r w:rsidRPr="009A0373">
        <w:rPr>
          <w:color w:val="000000" w:themeColor="text1"/>
          <w:sz w:val="20"/>
        </w:rPr>
        <w:t>erkrijger als volgt overeen:</w:t>
      </w:r>
    </w:p>
    <w:p w14:paraId="2EEBF012" w14:textId="77777777" w:rsidR="009A0373" w:rsidRPr="009A0373" w:rsidRDefault="009A0373" w:rsidP="00D73F87">
      <w:pPr>
        <w:rPr>
          <w:color w:val="000000" w:themeColor="text1"/>
          <w:sz w:val="20"/>
        </w:rPr>
      </w:pPr>
    </w:p>
    <w:p w14:paraId="2C65A4B4" w14:textId="77777777" w:rsidR="009A0373" w:rsidRPr="009A0373" w:rsidRDefault="009A0373" w:rsidP="009A0373">
      <w:pPr>
        <w:rPr>
          <w:color w:val="000000" w:themeColor="text1"/>
          <w:sz w:val="20"/>
        </w:rPr>
      </w:pPr>
      <w:r w:rsidRPr="009A0373">
        <w:rPr>
          <w:color w:val="000000" w:themeColor="text1"/>
          <w:sz w:val="20"/>
        </w:rPr>
        <w:t xml:space="preserve">Verrekening van lonen, sociale lasten en materiaalprijzen is uitgesloten wanneer de Levering uiterlijk </w:t>
      </w:r>
      <w:r w:rsidRPr="009A0373">
        <w:rPr>
          <w:color w:val="000000" w:themeColor="text1"/>
          <w:sz w:val="20"/>
          <w:highlight w:val="yellow"/>
        </w:rPr>
        <w:t>??</w:t>
      </w:r>
      <w:r w:rsidRPr="009A0373">
        <w:rPr>
          <w:color w:val="000000" w:themeColor="text1"/>
          <w:sz w:val="20"/>
        </w:rPr>
        <w:t>-</w:t>
      </w:r>
      <w:r w:rsidRPr="009A0373">
        <w:rPr>
          <w:color w:val="000000" w:themeColor="text1"/>
          <w:sz w:val="20"/>
          <w:highlight w:val="yellow"/>
        </w:rPr>
        <w:t>??</w:t>
      </w:r>
      <w:r w:rsidRPr="009A0373">
        <w:rPr>
          <w:color w:val="000000" w:themeColor="text1"/>
          <w:sz w:val="20"/>
        </w:rPr>
        <w:t>-20</w:t>
      </w:r>
      <w:r w:rsidRPr="009A0373">
        <w:rPr>
          <w:color w:val="000000" w:themeColor="text1"/>
          <w:sz w:val="20"/>
          <w:highlight w:val="yellow"/>
        </w:rPr>
        <w:t>??</w:t>
      </w:r>
      <w:r w:rsidRPr="009A0373">
        <w:rPr>
          <w:color w:val="000000" w:themeColor="text1"/>
          <w:sz w:val="20"/>
        </w:rPr>
        <w:t xml:space="preserve"> zal plaatsvinden.</w:t>
      </w:r>
    </w:p>
    <w:p w14:paraId="526C4FC7" w14:textId="77777777" w:rsidR="009A0373" w:rsidRPr="009A0373" w:rsidRDefault="009A0373" w:rsidP="009A0373">
      <w:pPr>
        <w:rPr>
          <w:color w:val="000000" w:themeColor="text1"/>
          <w:sz w:val="20"/>
        </w:rPr>
      </w:pPr>
    </w:p>
    <w:p w14:paraId="203D5C96" w14:textId="5FB5ED3C" w:rsidR="009A0373" w:rsidRPr="009A0373" w:rsidRDefault="009A0373" w:rsidP="009A0373">
      <w:pPr>
        <w:rPr>
          <w:color w:val="000000" w:themeColor="text1"/>
          <w:sz w:val="20"/>
        </w:rPr>
      </w:pPr>
      <w:r w:rsidRPr="009A0373">
        <w:rPr>
          <w:color w:val="000000" w:themeColor="text1"/>
          <w:sz w:val="20"/>
        </w:rPr>
        <w:t>Voor elke maand, of een deel daarvan, dat de Levering later plaatsvindt, heeft de Ondernemer het recht de onder I</w:t>
      </w:r>
      <w:r>
        <w:rPr>
          <w:color w:val="000000" w:themeColor="text1"/>
          <w:sz w:val="20"/>
        </w:rPr>
        <w:t>I</w:t>
      </w:r>
      <w:r w:rsidRPr="009A0373">
        <w:rPr>
          <w:color w:val="000000" w:themeColor="text1"/>
          <w:sz w:val="20"/>
        </w:rPr>
        <w:t xml:space="preserve">I van deze akte genoemde aanneemsom, maandelijks met </w:t>
      </w:r>
      <w:r w:rsidRPr="009A0373">
        <w:rPr>
          <w:color w:val="000000" w:themeColor="text1"/>
          <w:sz w:val="20"/>
          <w:highlight w:val="yellow"/>
        </w:rPr>
        <w:t>??</w:t>
      </w:r>
      <w:r w:rsidRPr="009A0373">
        <w:rPr>
          <w:color w:val="000000" w:themeColor="text1"/>
          <w:sz w:val="20"/>
        </w:rPr>
        <w:t xml:space="preserve">% te verhogen tot een maximum van </w:t>
      </w:r>
      <w:r w:rsidRPr="009A0373">
        <w:rPr>
          <w:color w:val="000000" w:themeColor="text1"/>
          <w:sz w:val="20"/>
          <w:highlight w:val="yellow"/>
        </w:rPr>
        <w:t>??</w:t>
      </w:r>
      <w:r w:rsidRPr="009A0373">
        <w:rPr>
          <w:color w:val="000000" w:themeColor="text1"/>
          <w:sz w:val="20"/>
        </w:rPr>
        <w:t>%</w:t>
      </w:r>
      <w:r w:rsidR="00C0530B">
        <w:rPr>
          <w:color w:val="000000" w:themeColor="text1"/>
          <w:sz w:val="20"/>
        </w:rPr>
        <w:t xml:space="preserve"> over de periode tot aan de Levering</w:t>
      </w:r>
      <w:r>
        <w:rPr>
          <w:color w:val="000000" w:themeColor="text1"/>
          <w:sz w:val="20"/>
        </w:rPr>
        <w:t>.</w:t>
      </w:r>
    </w:p>
    <w:p w14:paraId="6D15B16B" w14:textId="77777777" w:rsidR="009A0373" w:rsidRPr="009A0373" w:rsidRDefault="009A0373" w:rsidP="009A0373">
      <w:pPr>
        <w:rPr>
          <w:color w:val="000000" w:themeColor="text1"/>
          <w:sz w:val="20"/>
        </w:rPr>
      </w:pPr>
    </w:p>
    <w:p w14:paraId="74444849" w14:textId="77777777" w:rsidR="009A0373" w:rsidRPr="009A0373" w:rsidRDefault="009A0373" w:rsidP="009A0373">
      <w:pPr>
        <w:rPr>
          <w:color w:val="000000" w:themeColor="text1"/>
          <w:sz w:val="20"/>
        </w:rPr>
      </w:pPr>
      <w:r w:rsidRPr="006C2F43">
        <w:rPr>
          <w:color w:val="FF0000"/>
          <w:sz w:val="20"/>
          <w:highlight w:val="yellow"/>
        </w:rPr>
        <w:t xml:space="preserve">De Verkrijger zal, bij het bepalen (indien van toepassing) van het financieringsvoorbehoud in artikel </w:t>
      </w:r>
      <w:r>
        <w:rPr>
          <w:color w:val="FF0000"/>
          <w:sz w:val="20"/>
          <w:highlight w:val="yellow"/>
        </w:rPr>
        <w:t>8</w:t>
      </w:r>
      <w:r w:rsidRPr="006C2F43">
        <w:rPr>
          <w:color w:val="FF0000"/>
          <w:sz w:val="20"/>
          <w:highlight w:val="yellow"/>
        </w:rPr>
        <w:t xml:space="preserve"> van deze akte, rekening houden met het maximum waarmee de aanneemsom </w:t>
      </w:r>
      <w:proofErr w:type="gramStart"/>
      <w:r w:rsidRPr="006C2F43">
        <w:rPr>
          <w:color w:val="FF0000"/>
          <w:sz w:val="20"/>
          <w:highlight w:val="yellow"/>
        </w:rPr>
        <w:t>ingevolge</w:t>
      </w:r>
      <w:proofErr w:type="gramEnd"/>
      <w:r w:rsidRPr="006C2F43">
        <w:rPr>
          <w:color w:val="FF0000"/>
          <w:sz w:val="20"/>
          <w:highlight w:val="yellow"/>
        </w:rPr>
        <w:t xml:space="preserve"> het onderhavige artikel kan worden verhoogd</w:t>
      </w:r>
      <w:r w:rsidRPr="006C2F43">
        <w:rPr>
          <w:sz w:val="20"/>
          <w:highlight w:val="yellow"/>
        </w:rPr>
        <w:t>.</w:t>
      </w:r>
      <w:r w:rsidRPr="009A0373">
        <w:rPr>
          <w:color w:val="000000" w:themeColor="text1"/>
          <w:sz w:val="20"/>
        </w:rPr>
        <w:t xml:space="preserve"> Het overige gestelde in artikel </w:t>
      </w:r>
      <w:r>
        <w:rPr>
          <w:color w:val="000000" w:themeColor="text1"/>
          <w:sz w:val="20"/>
        </w:rPr>
        <w:t>8</w:t>
      </w:r>
      <w:r w:rsidRPr="009A0373">
        <w:rPr>
          <w:color w:val="000000" w:themeColor="text1"/>
          <w:sz w:val="20"/>
        </w:rPr>
        <w:t xml:space="preserve"> van deze akte is van overeenkomstige toepassing op de nieuwe aanneemsom.</w:t>
      </w:r>
    </w:p>
    <w:p w14:paraId="7A960071" w14:textId="77777777" w:rsidR="009A0373" w:rsidRPr="009A0373" w:rsidRDefault="009A0373" w:rsidP="009A0373">
      <w:pPr>
        <w:rPr>
          <w:color w:val="000000" w:themeColor="text1"/>
          <w:sz w:val="20"/>
        </w:rPr>
      </w:pPr>
    </w:p>
    <w:p w14:paraId="679BECDA" w14:textId="77777777" w:rsidR="009A0373" w:rsidRPr="009A0373" w:rsidRDefault="009A0373" w:rsidP="009A0373">
      <w:pPr>
        <w:rPr>
          <w:color w:val="000000" w:themeColor="text1"/>
          <w:sz w:val="20"/>
        </w:rPr>
      </w:pPr>
      <w:r w:rsidRPr="009A0373">
        <w:rPr>
          <w:color w:val="000000" w:themeColor="text1"/>
          <w:sz w:val="20"/>
        </w:rPr>
        <w:t>Deze nieuwe aanneemsom zal uiterlijk één (1) week voor de Levering schriftelijk aan zowel de Verkrijger als Woningborg worden medegedeeld. Bij gebreke van deze schriftelijke mededelingen vindt geen doorberekening van de verhoging plaats.</w:t>
      </w:r>
    </w:p>
    <w:p w14:paraId="63DA667F" w14:textId="77777777" w:rsidR="009A0373" w:rsidRPr="009A0373" w:rsidRDefault="009A0373" w:rsidP="009A0373">
      <w:pPr>
        <w:rPr>
          <w:color w:val="000000" w:themeColor="text1"/>
          <w:sz w:val="20"/>
        </w:rPr>
      </w:pPr>
    </w:p>
    <w:p w14:paraId="4C9B0747" w14:textId="77777777" w:rsidR="009A0373" w:rsidRDefault="009A0373" w:rsidP="009A0373">
      <w:pPr>
        <w:rPr>
          <w:color w:val="000000" w:themeColor="text1"/>
          <w:sz w:val="20"/>
        </w:rPr>
      </w:pPr>
      <w:r w:rsidRPr="009A0373">
        <w:rPr>
          <w:color w:val="000000" w:themeColor="text1"/>
          <w:sz w:val="20"/>
        </w:rPr>
        <w:t xml:space="preserve">De facturatie zal, indien voldaan is aan de hiervoor genoemde voorwaarden, overeenkomstig de termijnregeling in artikel </w:t>
      </w:r>
      <w:r>
        <w:rPr>
          <w:color w:val="000000" w:themeColor="text1"/>
          <w:sz w:val="20"/>
        </w:rPr>
        <w:t>5</w:t>
      </w:r>
      <w:r w:rsidRPr="009A0373">
        <w:rPr>
          <w:color w:val="000000" w:themeColor="text1"/>
          <w:sz w:val="20"/>
        </w:rPr>
        <w:t xml:space="preserve"> van deze akte plaatsvinden.</w:t>
      </w:r>
    </w:p>
    <w:sectPr w:rsidR="009A0373" w:rsidSect="009A0373">
      <w:headerReference w:type="default" r:id="rId7"/>
      <w:footerReference w:type="default" r:id="rId8"/>
      <w:pgSz w:w="11906" w:h="16838" w:code="9"/>
      <w:pgMar w:top="1843" w:right="849" w:bottom="993" w:left="1134" w:header="142" w:footer="41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07C5" w14:textId="77777777" w:rsidR="00ED4310" w:rsidRDefault="00ED4310">
      <w:r>
        <w:separator/>
      </w:r>
    </w:p>
  </w:endnote>
  <w:endnote w:type="continuationSeparator" w:id="0">
    <w:p w14:paraId="110235AB" w14:textId="77777777" w:rsidR="00ED4310" w:rsidRDefault="00ED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E034" w14:textId="77777777" w:rsidR="00ED4310" w:rsidRDefault="00ED4310">
    <w:pPr>
      <w:pStyle w:val="Voettekst"/>
      <w:pBdr>
        <w:top w:val="single" w:sz="4" w:space="1" w:color="auto"/>
      </w:pBdr>
      <w:tabs>
        <w:tab w:val="clear" w:pos="4536"/>
        <w:tab w:val="clear" w:pos="9072"/>
      </w:tabs>
      <w:rPr>
        <w:sz w:val="16"/>
      </w:rPr>
    </w:pPr>
  </w:p>
  <w:p w14:paraId="51BCE064" w14:textId="77777777" w:rsidR="00ED4310" w:rsidRDefault="00ED4310">
    <w:pPr>
      <w:pStyle w:val="Voettekst"/>
      <w:tabs>
        <w:tab w:val="clear" w:pos="4536"/>
        <w:tab w:val="clear" w:pos="9072"/>
        <w:tab w:val="right" w:pos="9923"/>
      </w:tabs>
      <w:rPr>
        <w:sz w:val="16"/>
      </w:rPr>
    </w:pPr>
    <w:proofErr w:type="gramStart"/>
    <w:r>
      <w:rPr>
        <w:sz w:val="16"/>
      </w:rPr>
      <w:t>post</w:t>
    </w:r>
    <w:proofErr w:type="gramEnd"/>
    <w:r>
      <w:rPr>
        <w:sz w:val="16"/>
      </w:rPr>
      <w:t xml:space="preserve">-risicoverrekening </w:t>
    </w:r>
    <w:proofErr w:type="spellStart"/>
    <w:r w:rsidR="009A0373">
      <w:rPr>
        <w:sz w:val="16"/>
      </w:rPr>
      <w:t>k</w:t>
    </w:r>
    <w:r>
      <w:rPr>
        <w:sz w:val="16"/>
      </w:rPr>
      <w:t>ao</w:t>
    </w:r>
    <w:proofErr w:type="spellEnd"/>
    <w:r w:rsidR="009A0373">
      <w:rPr>
        <w:sz w:val="16"/>
      </w:rPr>
      <w:t xml:space="preserve"> </w:t>
    </w:r>
    <w:proofErr w:type="spellStart"/>
    <w:r w:rsidR="009A0373">
      <w:rPr>
        <w:sz w:val="16"/>
      </w:rPr>
      <w:t>egh</w:t>
    </w:r>
    <w:proofErr w:type="spellEnd"/>
    <w:r w:rsidR="009A0373">
      <w:rPr>
        <w:sz w:val="16"/>
      </w:rPr>
      <w:t xml:space="preserve"> – </w:t>
    </w:r>
    <w:proofErr w:type="spellStart"/>
    <w:r w:rsidR="009A0373">
      <w:rPr>
        <w:sz w:val="16"/>
      </w:rPr>
      <w:t>kao</w:t>
    </w:r>
    <w:proofErr w:type="spellEnd"/>
    <w:r w:rsidR="009A0373">
      <w:rPr>
        <w:sz w:val="16"/>
      </w:rPr>
      <w:t xml:space="preserve"> app</w:t>
    </w:r>
    <w:r>
      <w:rPr>
        <w:sz w:val="16"/>
      </w:rPr>
      <w:tab/>
      <w:t xml:space="preserve">blad </w:t>
    </w:r>
    <w:r>
      <w:rPr>
        <w:rStyle w:val="Paginanummer"/>
        <w:sz w:val="16"/>
      </w:rPr>
      <w:fldChar w:fldCharType="begin"/>
    </w:r>
    <w:r>
      <w:rPr>
        <w:rStyle w:val="Paginanummer"/>
        <w:sz w:val="16"/>
      </w:rPr>
      <w:instrText xml:space="preserve"> PAGE </w:instrText>
    </w:r>
    <w:r>
      <w:rPr>
        <w:rStyle w:val="Paginanummer"/>
        <w:sz w:val="16"/>
      </w:rPr>
      <w:fldChar w:fldCharType="separate"/>
    </w:r>
    <w:r>
      <w:rPr>
        <w:rStyle w:val="Paginanummer"/>
        <w:noProof/>
        <w:sz w:val="16"/>
      </w:rPr>
      <w:t>1</w:t>
    </w:r>
    <w:r>
      <w:rPr>
        <w:rStyle w:val="Paginanummer"/>
        <w:sz w:val="16"/>
      </w:rPr>
      <w:fldChar w:fldCharType="end"/>
    </w:r>
    <w:r>
      <w:rPr>
        <w:rStyle w:val="Paginanummer"/>
        <w:sz w:val="16"/>
      </w:rPr>
      <w:t xml:space="preserve"> van </w:t>
    </w:r>
    <w:r>
      <w:rPr>
        <w:rStyle w:val="Paginanummer"/>
        <w:sz w:val="16"/>
      </w:rPr>
      <w:fldChar w:fldCharType="begin"/>
    </w:r>
    <w:r>
      <w:rPr>
        <w:rStyle w:val="Paginanummer"/>
        <w:sz w:val="16"/>
      </w:rPr>
      <w:instrText xml:space="preserve"> NUMPAGES </w:instrText>
    </w:r>
    <w:r>
      <w:rPr>
        <w:rStyle w:val="Paginanummer"/>
        <w:sz w:val="16"/>
      </w:rPr>
      <w:fldChar w:fldCharType="separate"/>
    </w:r>
    <w:r>
      <w:rPr>
        <w:rStyle w:val="Paginanummer"/>
        <w:noProof/>
        <w:sz w:val="16"/>
      </w:rPr>
      <w:t>1</w:t>
    </w:r>
    <w:r>
      <w:rPr>
        <w:rStyle w:val="Paginanumm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2E29" w14:textId="77777777" w:rsidR="00ED4310" w:rsidRDefault="00ED4310">
      <w:r>
        <w:separator/>
      </w:r>
    </w:p>
  </w:footnote>
  <w:footnote w:type="continuationSeparator" w:id="0">
    <w:p w14:paraId="7B05738E" w14:textId="77777777" w:rsidR="00ED4310" w:rsidRDefault="00ED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FEA8" w14:textId="77777777" w:rsidR="00ED4310" w:rsidRDefault="00ED4310">
    <w:pPr>
      <w:pStyle w:val="Koptekst"/>
      <w:tabs>
        <w:tab w:val="clear" w:pos="4536"/>
        <w:tab w:val="clear" w:pos="9072"/>
      </w:tabs>
    </w:pPr>
  </w:p>
  <w:p w14:paraId="74153D0F" w14:textId="77777777" w:rsidR="00ED4310" w:rsidRDefault="00ED4310">
    <w:pPr>
      <w:pStyle w:val="Koptekst"/>
      <w:tabs>
        <w:tab w:val="clear" w:pos="4536"/>
        <w:tab w:val="clear" w:pos="9072"/>
      </w:tabs>
      <w:rPr>
        <w:rFonts w:cs="Arial"/>
      </w:rPr>
    </w:pPr>
  </w:p>
  <w:p w14:paraId="6DD453F8" w14:textId="77777777" w:rsidR="00ED4310" w:rsidRDefault="00ED4310">
    <w:pPr>
      <w:pStyle w:val="Koptekst"/>
      <w:tabs>
        <w:tab w:val="clear" w:pos="4536"/>
        <w:tab w:val="clear" w:pos="9072"/>
      </w:tabs>
      <w:rPr>
        <w:rFonts w:cs="Arial"/>
      </w:rPr>
    </w:pPr>
  </w:p>
  <w:p w14:paraId="05A6441D" w14:textId="77777777" w:rsidR="00ED4310" w:rsidRDefault="00ED4310">
    <w:pPr>
      <w:pStyle w:val="Koptekst"/>
      <w:tabs>
        <w:tab w:val="clear" w:pos="4536"/>
        <w:tab w:val="clear" w:pos="9072"/>
      </w:tabs>
      <w:rPr>
        <w:rFonts w:cs="Arial"/>
      </w:rPr>
    </w:pPr>
  </w:p>
  <w:p w14:paraId="568FB91E" w14:textId="77777777" w:rsidR="00ED4310" w:rsidRDefault="00ED4310">
    <w:pPr>
      <w:pStyle w:val="Koptekst"/>
      <w:tabs>
        <w:tab w:val="clear" w:pos="4536"/>
        <w:tab w:val="clear" w:pos="9072"/>
      </w:tabs>
    </w:pPr>
  </w:p>
  <w:p w14:paraId="62BD90A8" w14:textId="77777777" w:rsidR="00ED4310" w:rsidRDefault="00ED4310">
    <w:pPr>
      <w:pStyle w:val="Koptekst"/>
      <w:pBdr>
        <w:top w:val="single" w:sz="4" w:space="1" w:color="auto"/>
      </w:pBdr>
      <w:tabs>
        <w:tab w:val="clear" w:pos="4536"/>
        <w:tab w:val="clear" w:pos="9072"/>
      </w:tabs>
    </w:pPr>
  </w:p>
  <w:p w14:paraId="1D63784A" w14:textId="77777777" w:rsidR="00ED4310" w:rsidRDefault="00ED4310">
    <w:pPr>
      <w:pStyle w:val="Koptekst"/>
      <w:pBdr>
        <w:top w:val="single" w:sz="4" w:space="1" w:color="auto"/>
      </w:pBd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0E3"/>
    <w:multiLevelType w:val="singleLevel"/>
    <w:tmpl w:val="1C4AC25A"/>
    <w:lvl w:ilvl="0">
      <w:numFmt w:val="bullet"/>
      <w:lvlText w:val="-"/>
      <w:lvlJc w:val="left"/>
      <w:pPr>
        <w:tabs>
          <w:tab w:val="num" w:pos="705"/>
        </w:tabs>
        <w:ind w:left="705" w:hanging="705"/>
      </w:pPr>
      <w:rPr>
        <w:rFonts w:ascii="Times New Roman" w:hAnsi="Times New Roman" w:hint="default"/>
      </w:rPr>
    </w:lvl>
  </w:abstractNum>
  <w:abstractNum w:abstractNumId="1" w15:restartNumberingAfterBreak="0">
    <w:nsid w:val="04E27847"/>
    <w:multiLevelType w:val="hybridMultilevel"/>
    <w:tmpl w:val="60CE5C92"/>
    <w:lvl w:ilvl="0" w:tplc="94A85752">
      <w:start w:val="1"/>
      <w:numFmt w:val="bullet"/>
      <w:lvlText w:val="-"/>
      <w:lvlJc w:val="left"/>
      <w:pPr>
        <w:tabs>
          <w:tab w:val="num" w:pos="1065"/>
        </w:tabs>
        <w:ind w:left="1065" w:hanging="705"/>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14517"/>
    <w:multiLevelType w:val="hybridMultilevel"/>
    <w:tmpl w:val="32C2A576"/>
    <w:lvl w:ilvl="0" w:tplc="FFF632B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3D9D7F4E"/>
    <w:multiLevelType w:val="singleLevel"/>
    <w:tmpl w:val="66C03266"/>
    <w:lvl w:ilvl="0">
      <w:numFmt w:val="bullet"/>
      <w:lvlText w:val="-"/>
      <w:lvlJc w:val="left"/>
      <w:pPr>
        <w:tabs>
          <w:tab w:val="num" w:pos="705"/>
        </w:tabs>
        <w:ind w:left="705" w:hanging="705"/>
      </w:pPr>
      <w:rPr>
        <w:rFonts w:ascii="Times New Roman" w:hAnsi="Times New Roman" w:hint="default"/>
      </w:rPr>
    </w:lvl>
  </w:abstractNum>
  <w:abstractNum w:abstractNumId="4" w15:restartNumberingAfterBreak="0">
    <w:nsid w:val="5FD35E16"/>
    <w:multiLevelType w:val="singleLevel"/>
    <w:tmpl w:val="5F24567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A1C0BF7"/>
    <w:multiLevelType w:val="hybridMultilevel"/>
    <w:tmpl w:val="6A34D2C6"/>
    <w:lvl w:ilvl="0" w:tplc="FFF632B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6AD70BE7"/>
    <w:multiLevelType w:val="singleLevel"/>
    <w:tmpl w:val="5F24567C"/>
    <w:lvl w:ilvl="0">
      <w:start w:val="1"/>
      <w:numFmt w:val="bullet"/>
      <w:lvlText w:val=""/>
      <w:lvlJc w:val="left"/>
      <w:pPr>
        <w:tabs>
          <w:tab w:val="num" w:pos="360"/>
        </w:tabs>
        <w:ind w:left="360" w:hanging="360"/>
      </w:pPr>
      <w:rPr>
        <w:rFonts w:ascii="Symbol" w:hAnsi="Symbol" w:hint="default"/>
      </w:rPr>
    </w:lvl>
  </w:abstractNum>
  <w:num w:numId="1" w16cid:durableId="1517184584">
    <w:abstractNumId w:val="2"/>
  </w:num>
  <w:num w:numId="2" w16cid:durableId="895047727">
    <w:abstractNumId w:val="1"/>
  </w:num>
  <w:num w:numId="3" w16cid:durableId="955793700">
    <w:abstractNumId w:val="5"/>
  </w:num>
  <w:num w:numId="4" w16cid:durableId="614755828">
    <w:abstractNumId w:val="6"/>
  </w:num>
  <w:num w:numId="5" w16cid:durableId="1058746307">
    <w:abstractNumId w:val="4"/>
  </w:num>
  <w:num w:numId="6" w16cid:durableId="489950046">
    <w:abstractNumId w:val="3"/>
  </w:num>
  <w:num w:numId="7" w16cid:durableId="127448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A7"/>
    <w:rsid w:val="001020C8"/>
    <w:rsid w:val="00252C39"/>
    <w:rsid w:val="004127B2"/>
    <w:rsid w:val="0070124A"/>
    <w:rsid w:val="0089628A"/>
    <w:rsid w:val="008A0EA6"/>
    <w:rsid w:val="009A0373"/>
    <w:rsid w:val="00A26FEE"/>
    <w:rsid w:val="00A42CA6"/>
    <w:rsid w:val="00A74440"/>
    <w:rsid w:val="00AC1175"/>
    <w:rsid w:val="00C0530B"/>
    <w:rsid w:val="00C1117D"/>
    <w:rsid w:val="00C67E68"/>
    <w:rsid w:val="00D73F87"/>
    <w:rsid w:val="00ED4310"/>
    <w:rsid w:val="00F81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46267"/>
  <w15:docId w15:val="{3C424939-78E8-4664-A578-CE96E576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pPr>
      <w:keepNext/>
      <w:tabs>
        <w:tab w:val="left" w:pos="0"/>
        <w:tab w:val="left" w:pos="397"/>
        <w:tab w:val="left" w:pos="794"/>
        <w:tab w:val="left" w:pos="1192"/>
        <w:tab w:val="left" w:pos="1590"/>
        <w:tab w:val="left" w:pos="1987"/>
        <w:tab w:val="left" w:pos="2384"/>
        <w:tab w:val="left" w:pos="2781"/>
        <w:tab w:val="left" w:pos="3178"/>
        <w:tab w:val="left" w:pos="3577"/>
        <w:tab w:val="left" w:pos="3974"/>
        <w:tab w:val="left" w:pos="4371"/>
        <w:tab w:val="left" w:pos="4768"/>
        <w:tab w:val="left" w:pos="5166"/>
        <w:tab w:val="left" w:pos="5563"/>
        <w:tab w:val="left" w:pos="5961"/>
        <w:tab w:val="left" w:pos="6358"/>
        <w:tab w:val="left" w:pos="6756"/>
        <w:tab w:val="left" w:pos="7153"/>
        <w:tab w:val="left" w:pos="7550"/>
        <w:tab w:val="left" w:pos="7947"/>
        <w:tab w:val="left" w:pos="8346"/>
        <w:tab w:val="left" w:pos="8743"/>
      </w:tabs>
      <w:spacing w:before="100" w:beforeAutospacing="1" w:after="100" w:afterAutospacing="1"/>
      <w:outlineLvl w:val="0"/>
    </w:pPr>
    <w:rPr>
      <w:rFonts w:cs="Arial"/>
      <w:sz w:val="20"/>
      <w:u w:val="single"/>
    </w:rPr>
  </w:style>
  <w:style w:type="paragraph" w:styleId="Kop2">
    <w:name w:val="heading 2"/>
    <w:basedOn w:val="Standaard"/>
    <w:next w:val="Standaard"/>
    <w:qFormat/>
    <w:pPr>
      <w:keepNext/>
      <w:outlineLvl w:val="1"/>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ind w:left="567"/>
    </w:p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Eindnootmarkering">
    <w:name w:val="endnote reference"/>
    <w:basedOn w:val="Standaardalinea-lettertype"/>
    <w:semiHidden/>
    <w:rPr>
      <w:vertAlign w:val="superscript"/>
    </w:rPr>
  </w:style>
  <w:style w:type="paragraph" w:styleId="Titel">
    <w:name w:val="Title"/>
    <w:basedOn w:val="Standaard"/>
    <w:qFormat/>
    <w:pPr>
      <w:widowControl w:val="0"/>
      <w:tabs>
        <w:tab w:val="center" w:pos="4513"/>
      </w:tabs>
      <w:suppressAutoHyphens/>
      <w:jc w:val="center"/>
    </w:pPr>
    <w:rPr>
      <w:rFonts w:ascii="Univers" w:hAnsi="Univers"/>
      <w:b/>
      <w:snapToGrid w:val="0"/>
      <w:spacing w:val="-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D1CF6AB444F41B41253CF48F0231B" ma:contentTypeVersion="13" ma:contentTypeDescription="Een nieuw document maken." ma:contentTypeScope="" ma:versionID="06eeb0baef696bc4c25fafcebe08ee7f">
  <xsd:schema xmlns:xsd="http://www.w3.org/2001/XMLSchema" xmlns:xs="http://www.w3.org/2001/XMLSchema" xmlns:p="http://schemas.microsoft.com/office/2006/metadata/properties" xmlns:ns2="0c8d9a7c-7b89-4a73-b6c1-289e4a06896b" xmlns:ns3="ba0fb48d-c865-44f5-8094-fb748cb23f19" targetNamespace="http://schemas.microsoft.com/office/2006/metadata/properties" ma:root="true" ma:fieldsID="2e9b88f04fae2d784224b4811ff2c481" ns2:_="" ns3:_="">
    <xsd:import namespace="0c8d9a7c-7b89-4a73-b6c1-289e4a06896b"/>
    <xsd:import namespace="ba0fb48d-c865-44f5-8094-fb748cb23f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d9a7c-7b89-4a73-b6c1-289e4a068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389dae5-c218-490e-b0a8-7812edc1b70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fb48d-c865-44f5-8094-fb748cb23f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c20bd5-3614-4de2-a032-117abac23e7e}" ma:internalName="TaxCatchAll" ma:showField="CatchAllData" ma:web="ba0fb48d-c865-44f5-8094-fb748cb23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8d9a7c-7b89-4a73-b6c1-289e4a06896b">
      <Terms xmlns="http://schemas.microsoft.com/office/infopath/2007/PartnerControls"/>
    </lcf76f155ced4ddcb4097134ff3c332f>
    <TaxCatchAll xmlns="ba0fb48d-c865-44f5-8094-fb748cb23f19" xsi:nil="true"/>
  </documentManagement>
</p:properties>
</file>

<file path=customXml/itemProps1.xml><?xml version="1.0" encoding="utf-8"?>
<ds:datastoreItem xmlns:ds="http://schemas.openxmlformats.org/officeDocument/2006/customXml" ds:itemID="{3D4117AB-6123-4AEA-9584-EEBFA63EDB80}"/>
</file>

<file path=customXml/itemProps2.xml><?xml version="1.0" encoding="utf-8"?>
<ds:datastoreItem xmlns:ds="http://schemas.openxmlformats.org/officeDocument/2006/customXml" ds:itemID="{167C5E19-089A-4B63-AEB1-331D4E83457E}"/>
</file>

<file path=customXml/itemProps3.xml><?xml version="1.0" encoding="utf-8"?>
<ds:datastoreItem xmlns:ds="http://schemas.openxmlformats.org/officeDocument/2006/customXml" ds:itemID="{EEAEBDDB-04F0-45E7-A6AF-2F64D9FCFD56}"/>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Artikel 21</vt:lpstr>
    </vt:vector>
  </TitlesOfParts>
  <Company>Stichting Woningborg</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Artikel 21</dc:title>
  <dc:creator>raymond</dc:creator>
  <cp:lastModifiedBy>Raymond Huizinga</cp:lastModifiedBy>
  <cp:revision>2</cp:revision>
  <cp:lastPrinted>2004-11-25T07:36:00Z</cp:lastPrinted>
  <dcterms:created xsi:type="dcterms:W3CDTF">2025-05-15T15:37:00Z</dcterms:created>
  <dcterms:modified xsi:type="dcterms:W3CDTF">2025-05-15T15:37:00Z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0x01010064CD1CF6AB444F41B41253CF48F0231B</vt:lpwstr>
  </property>
  <property fmtid="{D5CDD505-2E9C-101B-9397-08002B2CF9AE}" pid="3" name="Order">
    <vt:r8>17400</vt:r8>
  </property>
</Properties>
</file>